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367"/>
        <w:gridCol w:w="554"/>
        <w:gridCol w:w="1246"/>
        <w:gridCol w:w="880"/>
        <w:gridCol w:w="7121"/>
        <w:gridCol w:w="312"/>
      </w:tblGrid>
      <w:tr w:rsidR="00FB13B0"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32354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D422BF">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D422BF">
        <w:trPr>
          <w:trHeight w:val="6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val="restart"/>
            <w:tcBorders>
              <w:top w:val="nil"/>
              <w:left w:val="nil"/>
              <w:bottom w:val="nil"/>
              <w:right w:val="nil"/>
            </w:tcBorders>
            <w:shd w:val="clear" w:color="auto" w:fill="auto"/>
            <w:vAlign w:val="bottom"/>
          </w:tcPr>
          <w:p w:rsidR="00FB13B0" w:rsidRDefault="0032354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D422BF">
        <w:trPr>
          <w:trHeight w:val="9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7C2C0E">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8" w:anchor="'poznamky_explanatory notes'!A1" w:history="1">
              <w:r w:rsidR="00323549">
                <w:rPr>
                  <w:rFonts w:ascii="Calibri" w:eastAsia="Times New Roman" w:hAnsi="Calibri" w:cs="Calibri"/>
                  <w:sz w:val="16"/>
                  <w:szCs w:val="16"/>
                  <w:lang w:eastAsia="sk-SK"/>
                </w:rPr>
                <w:t xml:space="preserve">ID konania/ID of the procedure: </w:t>
              </w:r>
              <w:r w:rsidR="00323549">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32354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323549">
              <w:rPr>
                <w:rFonts w:ascii="Calibri" w:eastAsia="Times New Roman" w:hAnsi="Calibri" w:cs="Calibri"/>
                <w:sz w:val="16"/>
                <w:szCs w:val="16"/>
                <w:lang w:eastAsia="sk-SK"/>
              </w:rPr>
              <w:t>Kód VTC/Code of the research/artistic/other output (RAOO):</w:t>
            </w:r>
            <w:r w:rsidR="0032354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40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vAlign w:val="center"/>
          </w:tcPr>
          <w:p w:rsidR="00FB13B0" w:rsidRPr="007C2C0E" w:rsidRDefault="00FB13B0" w:rsidP="007C2C0E">
            <w:pPr>
              <w:spacing w:after="0" w:line="240" w:lineRule="auto"/>
              <w:jc w:val="both"/>
              <w:rPr>
                <w:rFonts w:eastAsia="Times New Roman" w:cstheme="minorHAnsi"/>
                <w:sz w:val="20"/>
                <w:szCs w:val="20"/>
                <w:lang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9" w:anchor="'poznamky_explanatory notes'!A1" w:history="1">
              <w:r w:rsidR="00323549">
                <w:rPr>
                  <w:rFonts w:ascii="Calibri" w:eastAsia="Times New Roman" w:hAnsi="Calibri" w:cs="Calibri"/>
                  <w:sz w:val="16"/>
                  <w:szCs w:val="16"/>
                  <w:lang w:eastAsia="sk-SK"/>
                </w:rPr>
                <w:t xml:space="preserve">OCA1. Priezvisko hodnotenej osoby / Surname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006D4F7C" w:rsidRPr="007C2C0E">
              <w:rPr>
                <w:rFonts w:eastAsia="Times New Roman" w:cstheme="minorHAnsi"/>
                <w:color w:val="000000"/>
                <w:sz w:val="16"/>
                <w:szCs w:val="16"/>
                <w:lang w:val="en-US" w:eastAsia="sk-SK"/>
              </w:rPr>
              <w:t>Popovičová</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0" w:anchor="'poznamky_explanatory notes'!A1" w:history="1">
              <w:r w:rsidR="00323549">
                <w:rPr>
                  <w:rFonts w:ascii="Calibri" w:eastAsia="Times New Roman" w:hAnsi="Calibri" w:cs="Calibri"/>
                  <w:sz w:val="16"/>
                  <w:szCs w:val="16"/>
                  <w:lang w:eastAsia="sk-SK"/>
                </w:rPr>
                <w:t xml:space="preserve">OCA2. Meno hodnotenej osoby / Name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val="en-US" w:eastAsia="sk-SK"/>
              </w:rPr>
            </w:pPr>
            <w:r w:rsidRPr="007C2C0E">
              <w:rPr>
                <w:rFonts w:eastAsia="Times New Roman" w:cstheme="minorHAnsi"/>
                <w:color w:val="000000"/>
                <w:sz w:val="16"/>
                <w:szCs w:val="16"/>
                <w:lang w:eastAsia="sk-SK"/>
              </w:rPr>
              <w:t> </w:t>
            </w:r>
            <w:r w:rsidR="006D4F7C" w:rsidRPr="007C2C0E">
              <w:rPr>
                <w:rFonts w:eastAsia="Times New Roman" w:cstheme="minorHAnsi"/>
                <w:color w:val="000000"/>
                <w:sz w:val="16"/>
                <w:szCs w:val="16"/>
                <w:lang w:val="en-US" w:eastAsia="sk-SK"/>
              </w:rPr>
              <w:t>Mária</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1" w:anchor="'poznamky_explanatory notes'!A1" w:history="1">
              <w:r w:rsidR="00323549">
                <w:rPr>
                  <w:rFonts w:ascii="Calibri" w:eastAsia="Times New Roman" w:hAnsi="Calibri" w:cs="Calibri"/>
                  <w:sz w:val="16"/>
                  <w:szCs w:val="16"/>
                  <w:lang w:eastAsia="sk-SK"/>
                </w:rPr>
                <w:t xml:space="preserve">OCA3. Tituly hodnotenej osoby / Degrees awarded to the assessed person </w:t>
              </w:r>
              <w:r w:rsidR="00323549">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Pr="007C2C0E">
              <w:rPr>
                <w:rFonts w:eastAsia="Times New Roman" w:cstheme="minorHAnsi"/>
                <w:color w:val="000000"/>
                <w:sz w:val="16"/>
                <w:szCs w:val="16"/>
                <w:lang w:val="en-US" w:eastAsia="sk-SK"/>
              </w:rPr>
              <w:t>Doc. PhDr., PhD.</w:t>
            </w:r>
            <w:r w:rsidR="00A2122B">
              <w:rPr>
                <w:rFonts w:eastAsia="Times New Roman" w:cstheme="minorHAnsi"/>
                <w:color w:val="000000"/>
                <w:sz w:val="16"/>
                <w:szCs w:val="16"/>
                <w:lang w:val="en-US" w:eastAsia="sk-SK"/>
              </w:rPr>
              <w:t>, MBA</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2" w:anchor="'poznamky_explanatory notes'!A1" w:history="1">
              <w:r w:rsidR="0032354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323549">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r w:rsidR="00BF2F41" w:rsidRPr="007C2C0E">
              <w:rPr>
                <w:rFonts w:eastAsia="Times New Roman" w:cstheme="minorHAnsi"/>
                <w:color w:val="000000"/>
                <w:sz w:val="16"/>
                <w:szCs w:val="16"/>
                <w:lang w:eastAsia="sk-SK"/>
              </w:rPr>
              <w:t>https://www.portalvs.sk/regzam/detail/27270</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3" w:anchor="'poznamky_explanatory notes'!A1" w:history="1">
              <w:r w:rsidR="00323549">
                <w:rPr>
                  <w:rFonts w:ascii="Calibri" w:eastAsia="Times New Roman" w:hAnsi="Calibri" w:cs="Calibri"/>
                  <w:sz w:val="16"/>
                  <w:szCs w:val="16"/>
                  <w:lang w:eastAsia="sk-SK"/>
                </w:rPr>
                <w:t xml:space="preserve">OCA5. Oblasť posudzovania / Area of assessment </w:t>
              </w:r>
              <w:r w:rsidR="00323549">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eastAsia="sk-SK"/>
              </w:rPr>
            </w:pPr>
            <w:r w:rsidRPr="007C2C0E">
              <w:rPr>
                <w:rFonts w:eastAsia="Times New Roman" w:cstheme="minorHAnsi"/>
                <w:color w:val="000000"/>
                <w:sz w:val="16"/>
                <w:szCs w:val="16"/>
                <w:lang w:eastAsia="sk-SK"/>
              </w:rPr>
              <w:t> </w:t>
            </w:r>
            <w:bookmarkStart w:id="1" w:name="_GoBack"/>
            <w:r w:rsidRPr="007C2C0E">
              <w:rPr>
                <w:rFonts w:eastAsia="Times New Roman" w:cstheme="minorHAnsi"/>
                <w:color w:val="000000"/>
                <w:sz w:val="16"/>
                <w:szCs w:val="16"/>
                <w:lang w:val="en-US" w:eastAsia="sk-SK"/>
              </w:rPr>
              <w:t>Ošetrovateľstvo III.stupeň/ Nursing III.degree</w:t>
            </w:r>
            <w:bookmarkEnd w:id="1"/>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4" w:anchor="Expl.OCA6!A1" w:history="1">
              <w:r w:rsidR="00323549">
                <w:rPr>
                  <w:rFonts w:ascii="Calibri" w:eastAsia="Times New Roman" w:hAnsi="Calibri" w:cs="Calibri"/>
                  <w:sz w:val="16"/>
                  <w:szCs w:val="16"/>
                  <w:lang w:eastAsia="sk-SK"/>
                </w:rPr>
                <w:t xml:space="preserve">OCA6. Kategória výstupu tvorivej činnosti / Category of the research/ artistic/other output </w:t>
              </w:r>
              <w:r w:rsidR="00323549">
                <w:rPr>
                  <w:rFonts w:ascii="Calibri" w:eastAsia="Times New Roman" w:hAnsi="Calibri" w:cs="Calibri"/>
                  <w:sz w:val="16"/>
                  <w:szCs w:val="16"/>
                  <w:lang w:eastAsia="sk-SK"/>
                </w:rPr>
                <w:br/>
              </w:r>
              <w:r w:rsidR="0032354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rsidR="00A04268" w:rsidRPr="007C2C0E" w:rsidRDefault="00323549" w:rsidP="007C2C0E">
            <w:pPr>
              <w:pStyle w:val="Default"/>
              <w:tabs>
                <w:tab w:val="left" w:pos="567"/>
              </w:tabs>
              <w:jc w:val="both"/>
              <w:rPr>
                <w:rFonts w:asciiTheme="minorHAnsi" w:hAnsiTheme="minorHAnsi" w:cstheme="minorHAnsi"/>
                <w:b/>
              </w:rPr>
            </w:pPr>
            <w:r w:rsidRPr="007C2C0E">
              <w:rPr>
                <w:rFonts w:asciiTheme="minorHAnsi" w:hAnsiTheme="minorHAnsi" w:cstheme="minorHAnsi"/>
                <w:i/>
                <w:iCs/>
                <w:sz w:val="16"/>
                <w:szCs w:val="16"/>
              </w:rPr>
              <w:t> </w:t>
            </w:r>
            <w:r w:rsidRPr="007C2C0E">
              <w:rPr>
                <w:rFonts w:asciiTheme="minorHAnsi" w:hAnsiTheme="minorHAnsi" w:cstheme="minorHAnsi"/>
                <w:sz w:val="16"/>
                <w:szCs w:val="16"/>
              </w:rPr>
              <w:t xml:space="preserve">pedagogický výstup / pedagogical </w:t>
            </w:r>
            <w:r w:rsidRPr="007C2C0E">
              <w:rPr>
                <w:rFonts w:asciiTheme="minorHAnsi" w:hAnsiTheme="minorHAnsi" w:cstheme="minorHAnsi"/>
                <w:bCs/>
                <w:sz w:val="16"/>
              </w:rPr>
              <w:t>output</w:t>
            </w:r>
            <w:r w:rsidR="00A04268" w:rsidRPr="007C2C0E">
              <w:rPr>
                <w:rFonts w:asciiTheme="minorHAnsi" w:hAnsiTheme="minorHAnsi" w:cstheme="minorHAnsi"/>
                <w:b/>
              </w:rPr>
              <w:t xml:space="preserve"> </w:t>
            </w:r>
          </w:p>
          <w:p w:rsidR="00A04268" w:rsidRPr="007C2C0E" w:rsidRDefault="00A04268" w:rsidP="007C2C0E">
            <w:pPr>
              <w:pStyle w:val="Default"/>
              <w:tabs>
                <w:tab w:val="left" w:pos="567"/>
              </w:tabs>
              <w:jc w:val="both"/>
              <w:rPr>
                <w:rFonts w:asciiTheme="minorHAnsi" w:hAnsiTheme="minorHAnsi" w:cstheme="minorHAnsi"/>
                <w:b/>
              </w:rPr>
            </w:pPr>
          </w:p>
          <w:p w:rsidR="00FB13B0" w:rsidRPr="007C2C0E" w:rsidRDefault="005C3EE1" w:rsidP="007C2C0E">
            <w:pPr>
              <w:pStyle w:val="normal"/>
              <w:jc w:val="both"/>
              <w:rPr>
                <w:rFonts w:asciiTheme="minorHAnsi" w:hAnsiTheme="minorHAnsi" w:cstheme="minorHAnsi"/>
                <w:sz w:val="16"/>
                <w:szCs w:val="16"/>
              </w:rPr>
            </w:pPr>
            <w:r w:rsidRPr="005C3EE1">
              <w:rPr>
                <w:rFonts w:asciiTheme="minorHAnsi" w:eastAsia="Times New Roman" w:hAnsiTheme="minorHAnsi" w:cstheme="minorHAnsi"/>
                <w:color w:val="000000"/>
                <w:sz w:val="16"/>
                <w:szCs w:val="16"/>
              </w:rPr>
              <w:t xml:space="preserve">Popovičová, M., Babečka, J. (2023) </w:t>
            </w:r>
            <w:r w:rsidR="00604FFF">
              <w:rPr>
                <w:rFonts w:asciiTheme="minorHAnsi" w:eastAsia="Times New Roman" w:hAnsiTheme="minorHAnsi" w:cstheme="minorHAnsi"/>
                <w:color w:val="000000"/>
                <w:sz w:val="16"/>
                <w:szCs w:val="16"/>
              </w:rPr>
              <w:t>M</w:t>
            </w:r>
            <w:r w:rsidR="00604FFF" w:rsidRPr="005C3EE1">
              <w:rPr>
                <w:rFonts w:asciiTheme="minorHAnsi" w:eastAsia="Times New Roman" w:hAnsiTheme="minorHAnsi" w:cstheme="minorHAnsi"/>
                <w:color w:val="000000"/>
                <w:sz w:val="16"/>
                <w:szCs w:val="16"/>
              </w:rPr>
              <w:t>očová inkontinencia v gravidite a po pôrode</w:t>
            </w:r>
            <w:r w:rsidR="00604FFF" w:rsidRPr="007C2C0E">
              <w:rPr>
                <w:rFonts w:asciiTheme="minorHAnsi" w:hAnsiTheme="minorHAnsi" w:cstheme="minorHAnsi"/>
                <w:sz w:val="16"/>
                <w:szCs w:val="16"/>
              </w:rPr>
              <w:t xml:space="preserve"> In </w:t>
            </w:r>
            <w:r w:rsidR="00604FFF" w:rsidRPr="00DB5F9B">
              <w:rPr>
                <w:rFonts w:asciiTheme="minorHAnsi" w:hAnsiTheme="minorHAnsi" w:cstheme="minorHAnsi"/>
                <w:sz w:val="16"/>
                <w:szCs w:val="16"/>
              </w:rPr>
              <w:t>Klinická sociálna práca</w:t>
            </w:r>
            <w:r w:rsidR="00604FFF">
              <w:rPr>
                <w:rFonts w:asciiTheme="minorHAnsi" w:hAnsiTheme="minorHAnsi" w:cstheme="minorHAnsi"/>
                <w:sz w:val="16"/>
                <w:szCs w:val="16"/>
              </w:rPr>
              <w:t>,</w:t>
            </w:r>
            <w:r w:rsidR="00604FFF" w:rsidRPr="005C3EE1">
              <w:rPr>
                <w:rFonts w:asciiTheme="minorHAnsi" w:eastAsia="Times New Roman" w:hAnsiTheme="minorHAnsi" w:cstheme="minorHAnsi"/>
                <w:color w:val="000000"/>
                <w:sz w:val="16"/>
                <w:szCs w:val="16"/>
              </w:rPr>
              <w:t xml:space="preserve"> </w:t>
            </w:r>
            <w:r w:rsidR="00604FFF">
              <w:rPr>
                <w:rFonts w:asciiTheme="minorHAnsi" w:eastAsia="Times New Roman" w:hAnsiTheme="minorHAnsi" w:cstheme="minorHAnsi"/>
                <w:color w:val="000000"/>
                <w:sz w:val="16"/>
                <w:szCs w:val="16"/>
              </w:rPr>
              <w:t>2023, ISSN 2076-9741. č. 1, roč. 14, str.</w:t>
            </w:r>
            <w:r w:rsidR="00604FFF" w:rsidRPr="005C3EE1">
              <w:rPr>
                <w:rFonts w:asciiTheme="minorHAnsi" w:eastAsia="Times New Roman" w:hAnsiTheme="minorHAnsi" w:cstheme="minorHAnsi"/>
                <w:color w:val="000000"/>
                <w:sz w:val="16"/>
                <w:szCs w:val="16"/>
              </w:rPr>
              <w:t xml:space="preserve"> 16-25</w:t>
            </w:r>
            <w:r w:rsidR="00604FFF">
              <w:rPr>
                <w:rFonts w:asciiTheme="minorHAnsi" w:eastAsia="Times New Roman" w:hAnsiTheme="minorHAnsi" w:cstheme="minorHAnsi"/>
                <w:color w:val="000000"/>
                <w:sz w:val="16"/>
                <w:szCs w:val="16"/>
              </w:rPr>
              <w:t>/</w:t>
            </w:r>
            <w:r w:rsidR="00604FFF" w:rsidRPr="005C3EE1">
              <w:rPr>
                <w:rFonts w:asciiTheme="minorHAnsi" w:eastAsia="Times New Roman" w:hAnsiTheme="minorHAnsi" w:cstheme="minorHAnsi"/>
                <w:color w:val="000000"/>
                <w:sz w:val="16"/>
                <w:szCs w:val="16"/>
              </w:rPr>
              <w:t xml:space="preserve">Popovičová, M., Babečka, J. (2023) </w:t>
            </w:r>
            <w:r w:rsidRPr="005C3EE1">
              <w:rPr>
                <w:rFonts w:asciiTheme="minorHAnsi" w:eastAsia="Times New Roman" w:hAnsiTheme="minorHAnsi" w:cstheme="minorHAnsi"/>
                <w:color w:val="000000"/>
                <w:sz w:val="16"/>
                <w:szCs w:val="16"/>
              </w:rPr>
              <w:t>Urinary Incontinence in Pregnancy and after Childbirth. In Clinical Social Work, 2023, ISSN 2076-9741. No. 1, Vol. 14, p 16-25.</w:t>
            </w:r>
          </w:p>
          <w:p w:rsidR="00FB13B0" w:rsidRPr="007C2C0E" w:rsidRDefault="00FB13B0" w:rsidP="007C2C0E">
            <w:pPr>
              <w:pStyle w:val="normal"/>
              <w:jc w:val="both"/>
              <w:rPr>
                <w:rFonts w:asciiTheme="minorHAnsi" w:eastAsia="Times New Roman" w:hAnsiTheme="minorHAnsi" w:cstheme="minorHAnsi"/>
                <w:i/>
                <w:iCs/>
                <w:sz w:val="16"/>
                <w:szCs w:val="16"/>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323549" w:rsidP="007C2C0E">
            <w:pPr>
              <w:spacing w:after="0" w:line="240" w:lineRule="auto"/>
              <w:jc w:val="both"/>
              <w:rPr>
                <w:rFonts w:eastAsia="Times New Roman" w:cstheme="minorHAnsi"/>
                <w:color w:val="000000"/>
                <w:sz w:val="16"/>
                <w:szCs w:val="16"/>
                <w:lang w:val="en-US" w:eastAsia="sk-SK"/>
              </w:rPr>
            </w:pPr>
            <w:r w:rsidRPr="007C2C0E">
              <w:rPr>
                <w:rFonts w:eastAsia="Times New Roman" w:cstheme="minorHAnsi"/>
                <w:color w:val="000000"/>
                <w:sz w:val="16"/>
                <w:szCs w:val="16"/>
                <w:lang w:eastAsia="sk-SK"/>
              </w:rPr>
              <w:t> </w:t>
            </w:r>
            <w:r w:rsidRPr="007C2C0E">
              <w:rPr>
                <w:rFonts w:eastAsia="Times New Roman" w:cstheme="minorHAnsi"/>
                <w:color w:val="000000"/>
                <w:sz w:val="16"/>
                <w:szCs w:val="16"/>
                <w:lang w:val="en-US" w:eastAsia="sk-SK"/>
              </w:rPr>
              <w:t>20</w:t>
            </w:r>
            <w:r w:rsidR="00D81528" w:rsidRPr="007C2C0E">
              <w:rPr>
                <w:rFonts w:eastAsia="Times New Roman" w:cstheme="minorHAnsi"/>
                <w:color w:val="000000"/>
                <w:sz w:val="16"/>
                <w:szCs w:val="16"/>
                <w:lang w:val="en-US" w:eastAsia="sk-SK"/>
              </w:rPr>
              <w:t>2</w:t>
            </w:r>
            <w:r w:rsidR="00604FFF">
              <w:rPr>
                <w:rFonts w:eastAsia="Times New Roman" w:cstheme="minorHAnsi"/>
                <w:color w:val="000000"/>
                <w:sz w:val="16"/>
                <w:szCs w:val="16"/>
                <w:lang w:val="en-US" w:eastAsia="sk-SK"/>
              </w:rPr>
              <w:t>3</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5" w:anchor="'poznamky_explanatory notes'!A1" w:history="1">
              <w:r w:rsidR="00323549">
                <w:rPr>
                  <w:rFonts w:ascii="Calibri" w:eastAsia="Times New Roman" w:hAnsi="Calibri" w:cs="Calibri"/>
                  <w:sz w:val="16"/>
                  <w:szCs w:val="16"/>
                  <w:lang w:eastAsia="sk-SK"/>
                </w:rPr>
                <w:t xml:space="preserve">OCA8. ID záznamu v CREPČ alebo CREUČ </w:t>
              </w:r>
              <w:r w:rsidR="00323549">
                <w:rPr>
                  <w:rFonts w:ascii="Calibri" w:eastAsia="Times New Roman" w:hAnsi="Calibri" w:cs="Calibri"/>
                  <w:i/>
                  <w:iCs/>
                  <w:sz w:val="16"/>
                  <w:szCs w:val="16"/>
                  <w:lang w:eastAsia="sk-SK"/>
                </w:rPr>
                <w:t>(ak je)</w:t>
              </w:r>
              <w:r w:rsidR="0032354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323549">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rsidR="00FB13B0" w:rsidRPr="00604FFF" w:rsidRDefault="00604FFF" w:rsidP="00604FFF">
            <w:pPr>
              <w:rPr>
                <w:sz w:val="16"/>
                <w:szCs w:val="16"/>
              </w:rPr>
            </w:pPr>
            <w:r w:rsidRPr="00604FFF">
              <w:rPr>
                <w:sz w:val="16"/>
                <w:szCs w:val="16"/>
              </w:rPr>
              <w:t>https://app.crepc.sk/?fn=detailBiblioFormChildOESPC&amp;sid=1A91F8800844F5FA0D95F7EBF00E&amp;seo=CREPČ-detail-Článok</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6" w:anchor="'poznamky_explanatory notes'!A1" w:history="1">
              <w:r w:rsidR="00323549">
                <w:rPr>
                  <w:rFonts w:ascii="Calibri" w:eastAsia="Times New Roman" w:hAnsi="Calibri" w:cs="Calibri"/>
                  <w:sz w:val="16"/>
                  <w:szCs w:val="16"/>
                  <w:lang w:eastAsia="sk-SK"/>
                </w:rPr>
                <w:t xml:space="preserve">OCA9. Hyperlink na záznam v CREPČ alebo CREUČ / Hyperlink to the record in CRPA or CRAA </w:t>
              </w:r>
              <w:r w:rsidR="00323549">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604FFF" w:rsidP="007C2C0E">
            <w:pPr>
              <w:spacing w:after="0" w:line="240" w:lineRule="auto"/>
              <w:jc w:val="both"/>
              <w:rPr>
                <w:rFonts w:eastAsia="Times New Roman" w:cstheme="minorHAnsi"/>
                <w:color w:val="000000"/>
                <w:sz w:val="16"/>
                <w:szCs w:val="16"/>
                <w:lang w:eastAsia="sk-SK"/>
              </w:rPr>
            </w:pPr>
            <w:r w:rsidRPr="00604FFF">
              <w:rPr>
                <w:sz w:val="16"/>
                <w:szCs w:val="16"/>
              </w:rPr>
              <w:t>https://app.crepc.sk/?fn=detailBiblioFormChildOESPC&amp;sid=1A91F8800844F5FA0D95F7EBF00E&amp;seo=CREPČ-detail-Článok</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32354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7" w:anchor="'poznamky_explanatory notes'!A1" w:history="1">
              <w:r w:rsidR="0032354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23549">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FB13B0" w:rsidP="007C2C0E">
            <w:pPr>
              <w:spacing w:after="0" w:line="240" w:lineRule="auto"/>
              <w:ind w:left="160" w:hangingChars="100" w:hanging="160"/>
              <w:jc w:val="both"/>
              <w:rPr>
                <w:rFonts w:eastAsia="Times New Roman" w:cstheme="minorHAnsi"/>
                <w:color w:val="FF0000"/>
                <w:sz w:val="16"/>
                <w:szCs w:val="16"/>
                <w:lang w:eastAsia="sk-SK"/>
              </w:rPr>
            </w:pPr>
          </w:p>
          <w:p w:rsidR="00604FFF" w:rsidRPr="00604FFF" w:rsidRDefault="00604FFF" w:rsidP="00604FFF">
            <w:pPr>
              <w:spacing w:after="0" w:line="240" w:lineRule="auto"/>
              <w:ind w:left="160" w:hangingChars="100" w:hanging="160"/>
              <w:jc w:val="both"/>
              <w:rPr>
                <w:rFonts w:cstheme="minorHAnsi"/>
                <w:sz w:val="16"/>
                <w:szCs w:val="16"/>
              </w:rPr>
            </w:pPr>
            <w:hyperlink r:id="rId18" w:history="1">
              <w:r w:rsidRPr="00604FFF">
                <w:rPr>
                  <w:rStyle w:val="Hypertextovprepojenie"/>
                  <w:rFonts w:cstheme="minorHAnsi"/>
                  <w:color w:val="auto"/>
                  <w:sz w:val="16"/>
                  <w:szCs w:val="16"/>
                  <w:u w:val="none"/>
                </w:rPr>
                <w:t>https://sva.dawinci.sk/?fn=*recview&amp;uid=10290&amp;pageId=resultform&amp;full=0&amp;fs=DCB2A313350E4D558C3</w:t>
              </w:r>
            </w:hyperlink>
          </w:p>
          <w:p w:rsidR="00D422BF" w:rsidRPr="00604FFF" w:rsidRDefault="00604FFF" w:rsidP="00604FFF">
            <w:pPr>
              <w:spacing w:after="0" w:line="240" w:lineRule="auto"/>
              <w:ind w:left="160" w:hangingChars="100" w:hanging="160"/>
              <w:jc w:val="both"/>
              <w:rPr>
                <w:rFonts w:eastAsia="Times New Roman" w:cstheme="minorHAnsi"/>
                <w:sz w:val="16"/>
                <w:szCs w:val="16"/>
                <w:lang w:eastAsia="sk-SK"/>
              </w:rPr>
            </w:pPr>
            <w:r w:rsidRPr="00604FFF">
              <w:rPr>
                <w:rFonts w:cstheme="minorHAnsi"/>
                <w:sz w:val="16"/>
                <w:szCs w:val="16"/>
              </w:rPr>
              <w:t>2AE4622C9F4E</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rsidR="00604FFF" w:rsidRPr="007C2C0E" w:rsidRDefault="00604FFF" w:rsidP="00604FFF">
            <w:pPr>
              <w:pStyle w:val="normal"/>
              <w:jc w:val="both"/>
              <w:rPr>
                <w:rFonts w:asciiTheme="minorHAnsi" w:hAnsiTheme="minorHAnsi" w:cstheme="minorHAnsi"/>
                <w:sz w:val="16"/>
                <w:szCs w:val="16"/>
              </w:rPr>
            </w:pPr>
            <w:r w:rsidRPr="005C3EE1">
              <w:rPr>
                <w:rFonts w:asciiTheme="minorHAnsi" w:eastAsia="Times New Roman" w:hAnsiTheme="minorHAnsi" w:cstheme="minorHAnsi"/>
                <w:color w:val="000000"/>
                <w:sz w:val="16"/>
                <w:szCs w:val="16"/>
              </w:rPr>
              <w:t xml:space="preserve">Popovičová, M., Babečka, J. (2023) </w:t>
            </w:r>
            <w:r>
              <w:rPr>
                <w:rFonts w:asciiTheme="minorHAnsi" w:eastAsia="Times New Roman" w:hAnsiTheme="minorHAnsi" w:cstheme="minorHAnsi"/>
                <w:color w:val="000000"/>
                <w:sz w:val="16"/>
                <w:szCs w:val="16"/>
              </w:rPr>
              <w:t>M</w:t>
            </w:r>
            <w:r w:rsidRPr="005C3EE1">
              <w:rPr>
                <w:rFonts w:asciiTheme="minorHAnsi" w:eastAsia="Times New Roman" w:hAnsiTheme="minorHAnsi" w:cstheme="minorHAnsi"/>
                <w:color w:val="000000"/>
                <w:sz w:val="16"/>
                <w:szCs w:val="16"/>
              </w:rPr>
              <w:t>očová inkontinencia v gravidite a po pôrode</w:t>
            </w:r>
            <w:r w:rsidRPr="007C2C0E">
              <w:rPr>
                <w:rFonts w:asciiTheme="minorHAnsi" w:hAnsiTheme="minorHAnsi" w:cstheme="minorHAnsi"/>
                <w:sz w:val="16"/>
                <w:szCs w:val="16"/>
              </w:rPr>
              <w:t xml:space="preserve"> In </w:t>
            </w:r>
            <w:r w:rsidRPr="00DB5F9B">
              <w:rPr>
                <w:rFonts w:asciiTheme="minorHAnsi" w:hAnsiTheme="minorHAnsi" w:cstheme="minorHAnsi"/>
                <w:sz w:val="16"/>
                <w:szCs w:val="16"/>
              </w:rPr>
              <w:t>Klinická sociálna práca</w:t>
            </w:r>
            <w:r>
              <w:rPr>
                <w:rFonts w:asciiTheme="minorHAnsi" w:hAnsiTheme="minorHAnsi" w:cstheme="minorHAnsi"/>
                <w:sz w:val="16"/>
                <w:szCs w:val="16"/>
              </w:rPr>
              <w:t>,</w:t>
            </w:r>
            <w:r w:rsidRPr="005C3EE1">
              <w:rPr>
                <w:rFonts w:asciiTheme="minorHAnsi" w:eastAsia="Times New Roman" w:hAnsiTheme="minorHAnsi" w:cstheme="minorHAnsi"/>
                <w:color w:val="000000"/>
                <w:sz w:val="16"/>
                <w:szCs w:val="16"/>
              </w:rPr>
              <w:t xml:space="preserve"> </w:t>
            </w:r>
            <w:r>
              <w:rPr>
                <w:rFonts w:asciiTheme="minorHAnsi" w:eastAsia="Times New Roman" w:hAnsiTheme="minorHAnsi" w:cstheme="minorHAnsi"/>
                <w:color w:val="000000"/>
                <w:sz w:val="16"/>
                <w:szCs w:val="16"/>
              </w:rPr>
              <w:t>2023, ISSN 2076-9741. č. 1, roč. 14, str.</w:t>
            </w:r>
            <w:r w:rsidRPr="005C3EE1">
              <w:rPr>
                <w:rFonts w:asciiTheme="minorHAnsi" w:eastAsia="Times New Roman" w:hAnsiTheme="minorHAnsi" w:cstheme="minorHAnsi"/>
                <w:color w:val="000000"/>
                <w:sz w:val="16"/>
                <w:szCs w:val="16"/>
              </w:rPr>
              <w:t xml:space="preserve"> 16-25</w:t>
            </w:r>
            <w:r>
              <w:rPr>
                <w:rFonts w:asciiTheme="minorHAnsi" w:eastAsia="Times New Roman" w:hAnsiTheme="minorHAnsi" w:cstheme="minorHAnsi"/>
                <w:color w:val="000000"/>
                <w:sz w:val="16"/>
                <w:szCs w:val="16"/>
              </w:rPr>
              <w:t>/</w:t>
            </w:r>
            <w:r w:rsidRPr="005C3EE1">
              <w:rPr>
                <w:rFonts w:asciiTheme="minorHAnsi" w:eastAsia="Times New Roman" w:hAnsiTheme="minorHAnsi" w:cstheme="minorHAnsi"/>
                <w:color w:val="000000"/>
                <w:sz w:val="16"/>
                <w:szCs w:val="16"/>
              </w:rPr>
              <w:t>Popovičová, M., Babečka, J. (2023) Urinary Incontinence in Pregnancy and after Childbirth. In Clinical Social Work, 2023, ISSN 2076-9741. No. 1, Vol. 14, p 16-25.</w:t>
            </w:r>
          </w:p>
          <w:p w:rsidR="00FB13B0" w:rsidRPr="007C2C0E" w:rsidRDefault="00FB13B0" w:rsidP="007C2C0E">
            <w:pPr>
              <w:spacing w:after="0" w:line="240" w:lineRule="auto"/>
              <w:jc w:val="both"/>
              <w:rPr>
                <w:rFonts w:eastAsia="Times New Roman" w:cstheme="minorHAnsi"/>
                <w:sz w:val="16"/>
                <w:szCs w:val="16"/>
                <w:lang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19" w:anchor="Expl.OCA12!A1" w:history="1">
              <w:r w:rsidR="0032354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23549">
                <w:rPr>
                  <w:rFonts w:ascii="Calibri" w:eastAsia="Times New Roman" w:hAnsi="Calibri" w:cs="Calibri"/>
                  <w:sz w:val="16"/>
                  <w:szCs w:val="16"/>
                  <w:lang w:eastAsia="sk-SK"/>
                </w:rPr>
                <w:br/>
              </w:r>
              <w:r w:rsidR="00323549">
                <w:rPr>
                  <w:rFonts w:ascii="Calibri" w:eastAsia="Times New Roman" w:hAnsi="Calibri" w:cs="Calibri"/>
                  <w:i/>
                  <w:iCs/>
                  <w:color w:val="808080"/>
                  <w:sz w:val="16"/>
                  <w:szCs w:val="16"/>
                  <w:lang w:eastAsia="sk-SK"/>
                </w:rPr>
                <w:t xml:space="preserve">Výber zo 67 možností (pozri Vysvetlivky k položke OCA12) / Choice from 67 options (see </w:t>
              </w:r>
              <w:r w:rsidR="00323549">
                <w:rPr>
                  <w:rFonts w:ascii="Calibri" w:eastAsia="Times New Roman" w:hAnsi="Calibri" w:cs="Calibri"/>
                  <w:i/>
                  <w:iCs/>
                  <w:color w:val="808080"/>
                  <w:sz w:val="16"/>
                  <w:szCs w:val="16"/>
                  <w:lang w:eastAsia="sk-SK"/>
                </w:rPr>
                <w:lastRenderedPageBreak/>
                <w:t xml:space="preserve">Explanations for OCA12). </w:t>
              </w:r>
            </w:hyperlink>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9F4F72" w:rsidP="007C2C0E">
            <w:pPr>
              <w:spacing w:after="0" w:line="240" w:lineRule="auto"/>
              <w:jc w:val="both"/>
              <w:rPr>
                <w:rFonts w:eastAsia="Times New Roman" w:cstheme="minorHAnsi"/>
                <w:i/>
                <w:iCs/>
                <w:color w:val="000000"/>
                <w:sz w:val="16"/>
                <w:szCs w:val="16"/>
                <w:lang w:val="en-US" w:eastAsia="sk-SK"/>
              </w:rPr>
            </w:pPr>
            <w:r w:rsidRPr="007C2C0E">
              <w:rPr>
                <w:rFonts w:cstheme="minorHAnsi"/>
                <w:sz w:val="16"/>
                <w:szCs w:val="16"/>
              </w:rPr>
              <w:lastRenderedPageBreak/>
              <w:t>článok / article</w:t>
            </w:r>
            <w:r w:rsidRPr="007C2C0E">
              <w:rPr>
                <w:rFonts w:eastAsia="Times New Roman" w:cstheme="minorHAnsi"/>
                <w:i/>
                <w:iCs/>
                <w:color w:val="000000"/>
                <w:sz w:val="16"/>
                <w:szCs w:val="16"/>
                <w:lang w:val="en-US" w:eastAsia="sk-SK"/>
              </w:rPr>
              <w:t xml:space="preserve"> </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rsidR="00604FFF" w:rsidRPr="00604FFF" w:rsidRDefault="00604FFF" w:rsidP="00604FFF">
            <w:pPr>
              <w:spacing w:after="0" w:line="240" w:lineRule="auto"/>
              <w:ind w:left="160" w:hangingChars="100" w:hanging="160"/>
              <w:jc w:val="both"/>
              <w:rPr>
                <w:rFonts w:cstheme="minorHAnsi"/>
                <w:sz w:val="16"/>
                <w:szCs w:val="16"/>
              </w:rPr>
            </w:pPr>
            <w:hyperlink r:id="rId20" w:history="1">
              <w:r w:rsidRPr="00604FFF">
                <w:rPr>
                  <w:rStyle w:val="Hypertextovprepojenie"/>
                  <w:rFonts w:cstheme="minorHAnsi"/>
                  <w:color w:val="auto"/>
                  <w:sz w:val="16"/>
                  <w:szCs w:val="16"/>
                  <w:u w:val="none"/>
                </w:rPr>
                <w:t>https://sva.dawinci.sk/?fn=*recview&amp;uid=10290&amp;pageId=resultform&amp;full=0&amp;fs=DCB2A313350E4D558C3</w:t>
              </w:r>
            </w:hyperlink>
          </w:p>
          <w:p w:rsidR="00FB13B0" w:rsidRPr="00604FFF" w:rsidRDefault="00604FFF" w:rsidP="00604FFF">
            <w:pPr>
              <w:spacing w:after="0" w:line="240" w:lineRule="auto"/>
              <w:ind w:left="160" w:hangingChars="100" w:hanging="160"/>
              <w:jc w:val="both"/>
              <w:rPr>
                <w:rFonts w:cstheme="minorHAnsi"/>
                <w:sz w:val="16"/>
                <w:szCs w:val="16"/>
              </w:rPr>
            </w:pPr>
            <w:r w:rsidRPr="00604FFF">
              <w:rPr>
                <w:rFonts w:cstheme="minorHAnsi"/>
                <w:sz w:val="16"/>
                <w:szCs w:val="16"/>
              </w:rPr>
              <w:t>2AE4622C9F4E</w:t>
            </w:r>
          </w:p>
        </w:tc>
        <w:tc>
          <w:tcPr>
            <w:tcW w:w="312" w:type="dxa"/>
            <w:vAlign w:val="center"/>
          </w:tcPr>
          <w:p w:rsidR="00FB13B0" w:rsidRPr="007C2C0E" w:rsidRDefault="00FB13B0" w:rsidP="007C2C0E">
            <w:pPr>
              <w:spacing w:after="0" w:line="240" w:lineRule="auto"/>
              <w:jc w:val="both"/>
              <w:rPr>
                <w:rFonts w:eastAsia="Times New Roman" w:cstheme="minorHAnsi"/>
                <w:color w:val="FF0000"/>
                <w:sz w:val="20"/>
                <w:szCs w:val="20"/>
                <w:lang w:eastAsia="sk-SK"/>
              </w:rPr>
            </w:pPr>
          </w:p>
        </w:tc>
      </w:tr>
      <w:tr w:rsidR="00FB13B0" w:rsidTr="007C2C0E">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rsidR="00FB13B0" w:rsidRPr="007C2C0E" w:rsidRDefault="0001262A" w:rsidP="007C2C0E">
            <w:pPr>
              <w:pStyle w:val="PredformtovanHTML"/>
              <w:shd w:val="clear" w:color="auto" w:fill="F8F9FA"/>
              <w:spacing w:line="360" w:lineRule="atLeast"/>
              <w:jc w:val="both"/>
              <w:rPr>
                <w:rFonts w:asciiTheme="minorHAnsi" w:hAnsiTheme="minorHAnsi" w:cstheme="minorHAnsi"/>
                <w:color w:val="202124"/>
                <w:sz w:val="16"/>
                <w:szCs w:val="16"/>
              </w:rPr>
            </w:pPr>
            <w:r w:rsidRPr="007C2C0E">
              <w:rPr>
                <w:rFonts w:asciiTheme="minorHAnsi" w:hAnsiTheme="minorHAnsi" w:cstheme="minorHAnsi"/>
                <w:color w:val="000000"/>
                <w:sz w:val="16"/>
                <w:szCs w:val="16"/>
                <w:lang w:val="en-US"/>
              </w:rPr>
              <w:t xml:space="preserve">podiel autora  Popovičová </w:t>
            </w:r>
            <w:r w:rsidR="00604FFF">
              <w:rPr>
                <w:rFonts w:asciiTheme="minorHAnsi" w:hAnsiTheme="minorHAnsi" w:cstheme="minorHAnsi"/>
                <w:color w:val="000000"/>
                <w:sz w:val="16"/>
                <w:szCs w:val="16"/>
                <w:lang w:val="en-US"/>
              </w:rPr>
              <w:t>50</w:t>
            </w:r>
            <w:r w:rsidR="00323549" w:rsidRPr="007C2C0E">
              <w:rPr>
                <w:rFonts w:asciiTheme="minorHAnsi" w:hAnsiTheme="minorHAnsi" w:cstheme="minorHAnsi"/>
                <w:color w:val="000000"/>
                <w:sz w:val="16"/>
                <w:szCs w:val="16"/>
                <w:lang w:val="en-US"/>
              </w:rPr>
              <w:t xml:space="preserve">% / </w:t>
            </w:r>
            <w:r w:rsidR="00323549" w:rsidRPr="007C2C0E">
              <w:rPr>
                <w:rFonts w:asciiTheme="minorHAnsi" w:hAnsiTheme="minorHAnsi" w:cstheme="minorHAnsi"/>
                <w:color w:val="202124"/>
                <w:sz w:val="16"/>
                <w:szCs w:val="16"/>
                <w:shd w:val="clear" w:color="auto" w:fill="F8F9FA"/>
                <w:lang w:val="en-US"/>
              </w:rPr>
              <w:t>author's contribution</w:t>
            </w:r>
            <w:r w:rsidR="00D422BF" w:rsidRPr="007C2C0E">
              <w:rPr>
                <w:rFonts w:asciiTheme="minorHAnsi" w:hAnsiTheme="minorHAnsi" w:cstheme="minorHAnsi"/>
                <w:color w:val="202124"/>
                <w:sz w:val="16"/>
                <w:szCs w:val="16"/>
                <w:shd w:val="clear" w:color="auto" w:fill="F8F9FA"/>
              </w:rPr>
              <w:t xml:space="preserve"> </w:t>
            </w:r>
            <w:r w:rsidR="00343C1A" w:rsidRPr="007C2C0E">
              <w:rPr>
                <w:rFonts w:asciiTheme="minorHAnsi" w:hAnsiTheme="minorHAnsi" w:cstheme="minorHAnsi"/>
                <w:color w:val="000000"/>
                <w:sz w:val="16"/>
                <w:szCs w:val="16"/>
                <w:lang w:val="en-US"/>
              </w:rPr>
              <w:t>Popovičová</w:t>
            </w:r>
            <w:r w:rsidR="00343C1A" w:rsidRPr="007C2C0E">
              <w:rPr>
                <w:rFonts w:asciiTheme="minorHAnsi" w:hAnsiTheme="minorHAnsi" w:cstheme="minorHAnsi"/>
                <w:color w:val="202124"/>
                <w:sz w:val="16"/>
                <w:szCs w:val="16"/>
                <w:shd w:val="clear" w:color="auto" w:fill="F8F9FA"/>
              </w:rPr>
              <w:t xml:space="preserve"> </w:t>
            </w:r>
            <w:r w:rsidR="00604FFF">
              <w:rPr>
                <w:rFonts w:asciiTheme="minorHAnsi" w:hAnsiTheme="minorHAnsi" w:cstheme="minorHAnsi"/>
                <w:color w:val="202124"/>
                <w:sz w:val="16"/>
                <w:szCs w:val="16"/>
                <w:shd w:val="clear" w:color="auto" w:fill="F8F9FA"/>
              </w:rPr>
              <w:t>50</w:t>
            </w:r>
            <w:r w:rsidR="00323549" w:rsidRPr="007C2C0E">
              <w:rPr>
                <w:rFonts w:asciiTheme="minorHAnsi" w:hAnsiTheme="minorHAnsi" w:cstheme="minorHAnsi"/>
                <w:color w:val="202124"/>
                <w:sz w:val="16"/>
                <w:szCs w:val="16"/>
                <w:shd w:val="clear" w:color="auto" w:fill="F8F9FA"/>
              </w:rPr>
              <w:t>%</w:t>
            </w:r>
          </w:p>
          <w:p w:rsidR="00FB13B0" w:rsidRPr="007C2C0E" w:rsidRDefault="00FB13B0" w:rsidP="007C2C0E">
            <w:pPr>
              <w:spacing w:after="0" w:line="240" w:lineRule="auto"/>
              <w:jc w:val="both"/>
              <w:rPr>
                <w:rFonts w:eastAsia="Times New Roman" w:cstheme="minorHAnsi"/>
                <w:color w:val="000000"/>
                <w:sz w:val="16"/>
                <w:szCs w:val="16"/>
                <w:lang w:val="en-US" w:eastAsia="sk-SK"/>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21" w:anchor="'poznamky_explanatory notes'!A1" w:history="1">
              <w:r w:rsidR="0032354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23549">
                <w:rPr>
                  <w:rFonts w:ascii="Calibri" w:eastAsia="Times New Roman" w:hAnsi="Calibri" w:cs="Calibri"/>
                  <w:sz w:val="16"/>
                  <w:szCs w:val="16"/>
                  <w:vertAlign w:val="superscript"/>
                  <w:lang w:eastAsia="sk-SK"/>
                </w:rPr>
                <w:t>8</w:t>
              </w:r>
              <w:r w:rsidR="00323549">
                <w:rPr>
                  <w:rFonts w:ascii="Calibri" w:eastAsia="Times New Roman" w:hAnsi="Calibri" w:cs="Calibri"/>
                  <w:sz w:val="16"/>
                  <w:szCs w:val="16"/>
                  <w:lang w:eastAsia="sk-SK"/>
                </w:rPr>
                <w:br w:type="page"/>
              </w:r>
              <w:r w:rsidR="00323549">
                <w:rPr>
                  <w:rFonts w:ascii="Calibri" w:eastAsia="Times New Roman" w:hAnsi="Calibri" w:cs="Calibri"/>
                  <w:i/>
                  <w:iCs/>
                  <w:color w:val="808080"/>
                  <w:sz w:val="16"/>
                  <w:szCs w:val="16"/>
                  <w:lang w:eastAsia="sk-SK"/>
                </w:rPr>
                <w:t>Rozsah do 200 slov v slovenskom jazyku / Range up to 200 words in Slovak</w:t>
              </w:r>
              <w:r w:rsidR="0032354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FB13B0" w:rsidP="007C2C0E">
            <w:pPr>
              <w:spacing w:after="0" w:line="240" w:lineRule="auto"/>
              <w:jc w:val="both"/>
              <w:rPr>
                <w:rFonts w:eastAsia="Times New Roman" w:cstheme="minorHAnsi"/>
                <w:color w:val="000000"/>
                <w:sz w:val="16"/>
                <w:szCs w:val="16"/>
                <w:lang w:eastAsia="sk-SK"/>
              </w:rPr>
            </w:pPr>
          </w:p>
          <w:p w:rsidR="00FB13B0" w:rsidRPr="007C2C0E" w:rsidRDefault="00FB13B0" w:rsidP="007C2C0E">
            <w:pPr>
              <w:spacing w:after="0" w:line="240" w:lineRule="auto"/>
              <w:jc w:val="both"/>
              <w:rPr>
                <w:rFonts w:eastAsia="Times New Roman" w:cstheme="minorHAnsi"/>
                <w:color w:val="000000"/>
                <w:sz w:val="16"/>
                <w:szCs w:val="16"/>
                <w:lang w:eastAsia="sk-SK"/>
              </w:rPr>
            </w:pPr>
          </w:p>
          <w:p w:rsidR="00FB13B0" w:rsidRPr="008A0B6D" w:rsidRDefault="0087213C" w:rsidP="0087213C">
            <w:pPr>
              <w:spacing w:after="0" w:line="240" w:lineRule="auto"/>
              <w:jc w:val="both"/>
              <w:rPr>
                <w:rFonts w:eastAsia="Times New Roman" w:cstheme="minorHAnsi"/>
                <w:sz w:val="16"/>
                <w:szCs w:val="16"/>
                <w:lang w:eastAsia="sk-SK"/>
              </w:rPr>
            </w:pPr>
            <w:r w:rsidRPr="0087213C">
              <w:rPr>
                <w:rFonts w:eastAsia="Times New Roman" w:cstheme="minorHAnsi"/>
                <w:sz w:val="16"/>
                <w:szCs w:val="16"/>
                <w:lang w:eastAsia="sk-SK"/>
              </w:rPr>
              <w:t>Rozvoj inkontinencie závisí od mnohých faktorov a častejšie postihuje ženy, ktoré už rodili.</w:t>
            </w:r>
            <w:r>
              <w:rPr>
                <w:rFonts w:eastAsia="Times New Roman" w:cstheme="minorHAnsi"/>
                <w:sz w:val="16"/>
                <w:szCs w:val="16"/>
                <w:lang w:eastAsia="sk-SK"/>
              </w:rPr>
              <w:t xml:space="preserve"> </w:t>
            </w:r>
            <w:r w:rsidRPr="0087213C">
              <w:rPr>
                <w:rFonts w:eastAsia="Times New Roman" w:cstheme="minorHAnsi"/>
                <w:sz w:val="16"/>
                <w:szCs w:val="16"/>
                <w:lang w:eastAsia="sk-SK"/>
              </w:rPr>
              <w:t>Súvisí s rastom plodu a tlakom hlavičky a plodu na močový mechúr a svaly panvového dna.</w:t>
            </w:r>
            <w:r>
              <w:rPr>
                <w:rFonts w:eastAsia="Times New Roman" w:cstheme="minorHAnsi"/>
                <w:sz w:val="16"/>
                <w:szCs w:val="16"/>
                <w:lang w:eastAsia="sk-SK"/>
              </w:rPr>
              <w:t xml:space="preserve"> </w:t>
            </w:r>
            <w:r w:rsidRPr="0087213C">
              <w:rPr>
                <w:rFonts w:eastAsia="Times New Roman" w:cstheme="minorHAnsi"/>
                <w:sz w:val="16"/>
                <w:szCs w:val="16"/>
                <w:lang w:eastAsia="sk-SK"/>
              </w:rPr>
              <w:t>Pôrod môže oslabiť, alebo poškodiť štruktúry panvového dna a</w:t>
            </w:r>
            <w:r>
              <w:rPr>
                <w:rFonts w:eastAsia="Times New Roman" w:cstheme="minorHAnsi"/>
                <w:sz w:val="16"/>
                <w:szCs w:val="16"/>
                <w:lang w:eastAsia="sk-SK"/>
              </w:rPr>
              <w:t> </w:t>
            </w:r>
            <w:r w:rsidRPr="0087213C">
              <w:rPr>
                <w:rFonts w:eastAsia="Times New Roman" w:cstheme="minorHAnsi"/>
                <w:sz w:val="16"/>
                <w:szCs w:val="16"/>
                <w:lang w:eastAsia="sk-SK"/>
              </w:rPr>
              <w:t>inerváciu</w:t>
            </w:r>
            <w:r>
              <w:rPr>
                <w:rFonts w:eastAsia="Times New Roman" w:cstheme="minorHAnsi"/>
                <w:sz w:val="16"/>
                <w:szCs w:val="16"/>
                <w:lang w:eastAsia="sk-SK"/>
              </w:rPr>
              <w:t xml:space="preserve"> </w:t>
            </w:r>
            <w:r w:rsidRPr="0087213C">
              <w:rPr>
                <w:rFonts w:eastAsia="Times New Roman" w:cstheme="minorHAnsi"/>
                <w:sz w:val="16"/>
                <w:szCs w:val="16"/>
                <w:lang w:eastAsia="sk-SK"/>
              </w:rPr>
              <w:t>sfinkterového mechanizmu močovej rúry.</w:t>
            </w:r>
            <w:r>
              <w:rPr>
                <w:rFonts w:eastAsia="Times New Roman" w:cstheme="minorHAnsi"/>
                <w:sz w:val="16"/>
                <w:szCs w:val="16"/>
                <w:lang w:eastAsia="sk-SK"/>
              </w:rPr>
              <w:t xml:space="preserve"> </w:t>
            </w:r>
            <w:r w:rsidRPr="0087213C">
              <w:rPr>
                <w:rFonts w:eastAsia="Times New Roman" w:cstheme="minorHAnsi"/>
                <w:sz w:val="16"/>
                <w:szCs w:val="16"/>
                <w:lang w:eastAsia="sk-SK"/>
              </w:rPr>
              <w:t>Uplatňujú sa súčasne aj vplyvy hormonálne, ktoré uvoľňujú svalovinu a pôsobia aj na panvové</w:t>
            </w:r>
            <w:r>
              <w:rPr>
                <w:rFonts w:eastAsia="Times New Roman" w:cstheme="minorHAnsi"/>
                <w:sz w:val="16"/>
                <w:szCs w:val="16"/>
                <w:lang w:eastAsia="sk-SK"/>
              </w:rPr>
              <w:t xml:space="preserve"> </w:t>
            </w:r>
            <w:r w:rsidRPr="0087213C">
              <w:rPr>
                <w:rFonts w:eastAsia="Times New Roman" w:cstheme="minorHAnsi"/>
                <w:sz w:val="16"/>
                <w:szCs w:val="16"/>
                <w:lang w:eastAsia="sk-SK"/>
              </w:rPr>
              <w:t>väzivo. Vzhľadom k tomu sme vo výskume zisťovali inkontinenciu moču vo vybranej výskumnej</w:t>
            </w:r>
            <w:r>
              <w:rPr>
                <w:rFonts w:eastAsia="Times New Roman" w:cstheme="minorHAnsi"/>
                <w:sz w:val="16"/>
                <w:szCs w:val="16"/>
                <w:lang w:eastAsia="sk-SK"/>
              </w:rPr>
              <w:t xml:space="preserve"> </w:t>
            </w:r>
            <w:r w:rsidRPr="0087213C">
              <w:rPr>
                <w:rFonts w:eastAsia="Times New Roman" w:cstheme="minorHAnsi"/>
                <w:sz w:val="16"/>
                <w:szCs w:val="16"/>
                <w:lang w:eastAsia="sk-SK"/>
              </w:rPr>
              <w:t>vzorke a zisťovali mieru súvislosti medzi inkontinenciou respondentiek a faktormi ako tehotenstvo,</w:t>
            </w:r>
            <w:r>
              <w:rPr>
                <w:rFonts w:eastAsia="Times New Roman" w:cstheme="minorHAnsi"/>
                <w:sz w:val="16"/>
                <w:szCs w:val="16"/>
                <w:lang w:eastAsia="sk-SK"/>
              </w:rPr>
              <w:t xml:space="preserve"> </w:t>
            </w:r>
            <w:r w:rsidRPr="0087213C">
              <w:rPr>
                <w:rFonts w:eastAsia="Times New Roman" w:cstheme="minorHAnsi"/>
                <w:sz w:val="16"/>
                <w:szCs w:val="16"/>
                <w:lang w:eastAsia="sk-SK"/>
              </w:rPr>
              <w:t>počtom pôrodov a spôsobom vedenia pôrod</w:t>
            </w:r>
            <w:r>
              <w:rPr>
                <w:rFonts w:eastAsia="Times New Roman" w:cstheme="minorHAnsi"/>
                <w:sz w:val="16"/>
                <w:szCs w:val="16"/>
                <w:lang w:eastAsia="sk-SK"/>
              </w:rPr>
              <w:t>ov</w:t>
            </w:r>
            <w:r w:rsidR="004508BB" w:rsidRPr="007C2C0E">
              <w:rPr>
                <w:rFonts w:eastAsia="Times New Roman" w:cstheme="minorHAnsi"/>
                <w:sz w:val="16"/>
                <w:szCs w:val="16"/>
                <w:lang w:eastAsia="sk-SK"/>
              </w:rPr>
              <w:t>./</w:t>
            </w:r>
            <w:r w:rsidR="00CC0561" w:rsidRPr="00CC0561">
              <w:rPr>
                <w:sz w:val="16"/>
                <w:szCs w:val="16"/>
              </w:rPr>
              <w:t>The development of incontinence depends on many factors and more often affects women who have already given birth. It is related to the growth of the fetus and the pressure of the head and fetus on the bladder and pelvic floor muscles. Childbirth can weaken or damage the structures of the pelvic floor and the innervation of the sphincter mechanism of the urethra. Hormonal effects are also applied at the same time, which relax the muscles and also affect the pelvic ligament. Due to this, in the research, we investigated urinary incontinence in the selected research sample women and determined the degree of connection between the incontinence of the respondents and factors such as pregnancy, the number of births and the method of delivery management.</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B45806">
            <w:pPr>
              <w:spacing w:after="0" w:line="240" w:lineRule="auto"/>
              <w:rPr>
                <w:rFonts w:ascii="Calibri" w:eastAsia="Times New Roman" w:hAnsi="Calibri" w:cs="Calibri"/>
                <w:sz w:val="16"/>
                <w:szCs w:val="16"/>
                <w:lang w:eastAsia="sk-SK"/>
              </w:rPr>
            </w:pPr>
            <w:hyperlink r:id="rId22" w:anchor="'poznamky_explanatory notes'!A1" w:history="1">
              <w:r w:rsidR="00323549">
                <w:rPr>
                  <w:rFonts w:ascii="Calibri" w:eastAsia="Times New Roman" w:hAnsi="Calibri" w:cs="Calibri"/>
                  <w:sz w:val="16"/>
                  <w:szCs w:val="16"/>
                  <w:lang w:eastAsia="sk-SK"/>
                </w:rPr>
                <w:t xml:space="preserve">OCA16. Anotácia výstupu v anglickom jazyku / Annotation of the output in English </w:t>
              </w:r>
              <w:r w:rsidR="00323549">
                <w:rPr>
                  <w:rFonts w:ascii="Calibri" w:eastAsia="Times New Roman" w:hAnsi="Calibri" w:cs="Calibri"/>
                  <w:sz w:val="16"/>
                  <w:szCs w:val="16"/>
                  <w:vertAlign w:val="superscript"/>
                  <w:lang w:eastAsia="sk-SK"/>
                </w:rPr>
                <w:t xml:space="preserve"> 9</w:t>
              </w:r>
              <w:r w:rsidR="00323549">
                <w:rPr>
                  <w:rFonts w:ascii="Calibri" w:eastAsia="Times New Roman" w:hAnsi="Calibri" w:cs="Calibri"/>
                  <w:sz w:val="16"/>
                  <w:szCs w:val="16"/>
                  <w:lang w:eastAsia="sk-SK"/>
                </w:rPr>
                <w:br w:type="page"/>
              </w:r>
              <w:r w:rsidR="00323549">
                <w:rPr>
                  <w:rFonts w:ascii="Calibri" w:eastAsia="Times New Roman" w:hAnsi="Calibri" w:cs="Calibri"/>
                  <w:i/>
                  <w:iCs/>
                  <w:color w:val="808080"/>
                  <w:sz w:val="16"/>
                  <w:szCs w:val="16"/>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D312BA" w:rsidP="007C2C0E">
            <w:pPr>
              <w:spacing w:after="0" w:line="240" w:lineRule="auto"/>
              <w:jc w:val="both"/>
              <w:rPr>
                <w:rFonts w:eastAsia="SimSun" w:cstheme="minorHAnsi"/>
                <w:sz w:val="16"/>
                <w:szCs w:val="16"/>
                <w:lang w:eastAsia="sk-SK"/>
              </w:rPr>
            </w:pPr>
            <w:r w:rsidRPr="00D312BA">
              <w:rPr>
                <w:rFonts w:eastAsia="Times New Roman" w:cstheme="minorHAnsi"/>
                <w:sz w:val="16"/>
                <w:szCs w:val="16"/>
                <w:lang w:eastAsia="sk-SK"/>
              </w:rPr>
              <w:t>In our article, we pay attention to urinary incontinence, which is associated with a significant burden for a woman. It covers the problems of disabled women in all walks of life. Women who develop incontinence do not want to admit their condition, they consider leakage of urine to be only rare accidents, or they are aware of the seriousness of the problem but do not have the courage to seek medical help and talk about it. In order to prevent women's social isolation and more serious health damage, it is necessary to pay more attention to the issue of female incontinence from the health sector, especially by educating women of all ages, from their youngest age to old age. Because women's lack of information about the prevention, diagnosis and treatment of urinary incontinence results in an increasing number of women who are affected by this disease.</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947E3A" w:rsidRDefault="00FB13B0" w:rsidP="00D312BA">
            <w:pPr>
              <w:pStyle w:val="Normlnywebov"/>
              <w:shd w:val="clear" w:color="auto" w:fill="FFFFFF"/>
              <w:spacing w:after="0"/>
              <w:jc w:val="both"/>
              <w:rPr>
                <w:rFonts w:eastAsia="SimSun" w:cstheme="minorHAnsi"/>
                <w:sz w:val="16"/>
                <w:szCs w:val="16"/>
                <w:shd w:val="clear" w:color="auto" w:fill="FFFFFF"/>
              </w:rPr>
            </w:pP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7C2C0E" w:rsidRDefault="0087213C" w:rsidP="00FA63FC">
            <w:pPr>
              <w:pStyle w:val="PredformtovanHTML"/>
              <w:shd w:val="clear" w:color="auto" w:fill="F8F9FA"/>
              <w:jc w:val="both"/>
              <w:rPr>
                <w:rFonts w:asciiTheme="minorHAnsi" w:hAnsiTheme="minorHAnsi" w:cstheme="minorHAnsi"/>
                <w:sz w:val="16"/>
                <w:szCs w:val="16"/>
              </w:rPr>
            </w:pPr>
            <w:r w:rsidRPr="0087213C">
              <w:rPr>
                <w:rFonts w:asciiTheme="minorHAnsi" w:hAnsiTheme="minorHAnsi" w:cstheme="minorHAnsi"/>
                <w:sz w:val="16"/>
                <w:szCs w:val="16"/>
              </w:rPr>
              <w:t>Inkontinencia moču je mimoriadne citlivý, odborne a ekonomicky náročný problém.</w:t>
            </w:r>
            <w:r>
              <w:rPr>
                <w:rFonts w:asciiTheme="minorHAnsi" w:hAnsiTheme="minorHAnsi" w:cstheme="minorHAnsi"/>
                <w:sz w:val="16"/>
                <w:szCs w:val="16"/>
              </w:rPr>
              <w:t xml:space="preserve"> J</w:t>
            </w:r>
            <w:r w:rsidRPr="0087213C">
              <w:rPr>
                <w:rFonts w:asciiTheme="minorHAnsi" w:hAnsiTheme="minorHAnsi" w:cstheme="minorHAnsi"/>
                <w:sz w:val="16"/>
                <w:szCs w:val="16"/>
              </w:rPr>
              <w:t>e spojená s významnou záťažou pre ženu. Zahrňuje problémy</w:t>
            </w:r>
            <w:r>
              <w:rPr>
                <w:rFonts w:asciiTheme="minorHAnsi" w:hAnsiTheme="minorHAnsi" w:cstheme="minorHAnsi"/>
                <w:sz w:val="16"/>
                <w:szCs w:val="16"/>
              </w:rPr>
              <w:t xml:space="preserve"> </w:t>
            </w:r>
            <w:r w:rsidRPr="0087213C">
              <w:rPr>
                <w:rFonts w:asciiTheme="minorHAnsi" w:hAnsiTheme="minorHAnsi" w:cstheme="minorHAnsi"/>
                <w:sz w:val="16"/>
                <w:szCs w:val="16"/>
              </w:rPr>
              <w:t>postihnutých žien vo všetkých rovinách života. Inkontinencia moču prináša istú záťaž pre celú</w:t>
            </w:r>
            <w:r>
              <w:rPr>
                <w:rFonts w:asciiTheme="minorHAnsi" w:hAnsiTheme="minorHAnsi" w:cstheme="minorHAnsi"/>
                <w:sz w:val="16"/>
                <w:szCs w:val="16"/>
              </w:rPr>
              <w:t xml:space="preserve"> </w:t>
            </w:r>
            <w:r w:rsidRPr="0087213C">
              <w:rPr>
                <w:rFonts w:asciiTheme="minorHAnsi" w:hAnsiTheme="minorHAnsi" w:cstheme="minorHAnsi"/>
                <w:sz w:val="16"/>
                <w:szCs w:val="16"/>
              </w:rPr>
              <w:t>spoločnosť nielen pre postihnutú ženu.</w:t>
            </w:r>
            <w:r w:rsidR="00FA63FC">
              <w:t xml:space="preserve"> </w:t>
            </w:r>
            <w:r w:rsidR="00FA63FC" w:rsidRPr="00FA63FC">
              <w:rPr>
                <w:rFonts w:asciiTheme="minorHAnsi" w:hAnsiTheme="minorHAnsi" w:cstheme="minorHAnsi"/>
                <w:sz w:val="16"/>
                <w:szCs w:val="16"/>
              </w:rPr>
              <w:t>Vyliečenie</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alebo zlepšenie močovej inkontinencie znamená podstat</w:t>
            </w:r>
            <w:r w:rsidR="00FA63FC">
              <w:rPr>
                <w:rFonts w:asciiTheme="minorHAnsi" w:hAnsiTheme="minorHAnsi" w:cstheme="minorHAnsi"/>
                <w:sz w:val="16"/>
                <w:szCs w:val="16"/>
              </w:rPr>
              <w:t>né zlepšenie kvality života</w:t>
            </w:r>
            <w:r w:rsidR="00FA63FC" w:rsidRPr="00FA63FC">
              <w:rPr>
                <w:rFonts w:asciiTheme="minorHAnsi" w:hAnsiTheme="minorHAnsi" w:cstheme="minorHAnsi"/>
                <w:sz w:val="16"/>
                <w:szCs w:val="16"/>
              </w:rPr>
              <w:t>. Odborná aj</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laická verejnosť je pomerne informovaná o rôznych prejavoch či patológiách tehotenstva, o</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tehotenskej inkontinencii toto povedomie chýba. V spoločnosti je však tento problém tabuizovaný, a</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malá pozornosť sa venuje prevencii, ako predchádzaniu týmto ťažkostiam, tak aj možnosti</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efektívnejšej liečby a predchádzaniu recidív.</w:t>
            </w:r>
            <w:r w:rsidR="00CC0561">
              <w:rPr>
                <w:rFonts w:asciiTheme="minorHAnsi" w:hAnsiTheme="minorHAnsi" w:cstheme="minorHAnsi"/>
                <w:sz w:val="16"/>
                <w:szCs w:val="16"/>
              </w:rPr>
              <w:t>/</w:t>
            </w:r>
            <w:r w:rsidR="00CC0561" w:rsidRPr="00CC0561">
              <w:rPr>
                <w:rFonts w:asciiTheme="minorHAnsi" w:hAnsiTheme="minorHAnsi" w:cstheme="minorHAnsi"/>
                <w:sz w:val="16"/>
                <w:szCs w:val="16"/>
              </w:rPr>
              <w:t>Urinary incontinence is an extremely sensitive, professionally and economically demanding problem. It is associated with a significant burden for a woman. It covers the problems of disabled women in all walks of life. Urinary incontinence brings a certain burden for the whole society, not only for the affected woman. Curing or improving urinary incontinence means a substantial improvement in the quality of life. The professional and lay public is relatively well informed about the various manifestations or pathologies of pregnancy, but this awareness is lacking about pregnancy incontinence. However, this problem is taboo in society, and little attention is paid to prevention, both to preventing these problems and to the possibility of more effective treatment and prevention of relapses.</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r w:rsidR="00FB13B0" w:rsidTr="007C2C0E">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32354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A63FC" w:rsidRPr="00FA63FC" w:rsidRDefault="00D0123F" w:rsidP="00FA63FC">
            <w:pPr>
              <w:pStyle w:val="PredformtovanHTML"/>
              <w:shd w:val="clear" w:color="auto" w:fill="F8F9FA"/>
              <w:jc w:val="both"/>
              <w:rPr>
                <w:rFonts w:asciiTheme="minorHAnsi" w:hAnsiTheme="minorHAnsi" w:cstheme="minorHAnsi"/>
                <w:sz w:val="16"/>
                <w:szCs w:val="16"/>
              </w:rPr>
            </w:pPr>
            <w:r w:rsidRPr="007C2C0E">
              <w:rPr>
                <w:rFonts w:asciiTheme="minorHAnsi" w:hAnsiTheme="minorHAnsi" w:cstheme="minorHAnsi"/>
                <w:sz w:val="16"/>
                <w:szCs w:val="16"/>
              </w:rPr>
              <w:t>V</w:t>
            </w:r>
            <w:r w:rsidR="00323549" w:rsidRPr="007C2C0E">
              <w:rPr>
                <w:rFonts w:asciiTheme="minorHAnsi" w:hAnsiTheme="minorHAnsi" w:cstheme="minorHAnsi"/>
                <w:sz w:val="16"/>
                <w:szCs w:val="16"/>
              </w:rPr>
              <w:t xml:space="preserve">ýstup sa zameriava </w:t>
            </w:r>
            <w:r w:rsidRPr="007C2C0E">
              <w:rPr>
                <w:rFonts w:asciiTheme="minorHAnsi" w:hAnsiTheme="minorHAnsi" w:cstheme="minorHAnsi"/>
                <w:sz w:val="16"/>
                <w:szCs w:val="16"/>
              </w:rPr>
              <w:t>tému týka</w:t>
            </w:r>
            <w:r w:rsidR="004508BB" w:rsidRPr="007C2C0E">
              <w:rPr>
                <w:rFonts w:asciiTheme="minorHAnsi" w:hAnsiTheme="minorHAnsi" w:cstheme="minorHAnsi"/>
                <w:sz w:val="16"/>
                <w:szCs w:val="16"/>
              </w:rPr>
              <w:t xml:space="preserve">júcu sa  </w:t>
            </w:r>
            <w:r w:rsidR="00FA63FC" w:rsidRPr="00FA63FC">
              <w:rPr>
                <w:rFonts w:asciiTheme="minorHAnsi" w:hAnsiTheme="minorHAnsi" w:cstheme="minorHAnsi"/>
                <w:sz w:val="16"/>
                <w:szCs w:val="16"/>
              </w:rPr>
              <w:t>inkontinencii moču</w:t>
            </w:r>
            <w:r w:rsidR="004508BB" w:rsidRPr="007C2C0E">
              <w:rPr>
                <w:rFonts w:asciiTheme="minorHAnsi" w:hAnsiTheme="minorHAnsi" w:cstheme="minorHAnsi"/>
                <w:sz w:val="16"/>
                <w:szCs w:val="16"/>
              </w:rPr>
              <w:t xml:space="preserve">, vzhľadom </w:t>
            </w:r>
            <w:r w:rsidR="00FA63FC">
              <w:rPr>
                <w:rFonts w:asciiTheme="minorHAnsi" w:hAnsiTheme="minorHAnsi" w:cstheme="minorHAnsi"/>
                <w:sz w:val="16"/>
                <w:szCs w:val="16"/>
              </w:rPr>
              <w:t>k tomu, že z</w:t>
            </w:r>
            <w:r w:rsidR="00FA63FC" w:rsidRPr="00FA63FC">
              <w:rPr>
                <w:rFonts w:asciiTheme="minorHAnsi" w:hAnsiTheme="minorHAnsi" w:cstheme="minorHAnsi"/>
                <w:sz w:val="16"/>
                <w:szCs w:val="16"/>
              </w:rPr>
              <w:t>a obdobie posledných 10 rokov prekonala diagnostika</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inkontinencie moču prudký rozvoj. Boli vyvinuté moderné operačné postupy, no žiaľ ani tie</w:t>
            </w:r>
            <w:r w:rsidR="00FA63FC">
              <w:rPr>
                <w:rFonts w:asciiTheme="minorHAnsi" w:hAnsiTheme="minorHAnsi" w:cstheme="minorHAnsi"/>
                <w:sz w:val="16"/>
                <w:szCs w:val="16"/>
              </w:rPr>
              <w:t xml:space="preserve"> </w:t>
            </w:r>
            <w:r w:rsidR="00FA63FC" w:rsidRPr="00FA63FC">
              <w:rPr>
                <w:rFonts w:asciiTheme="minorHAnsi" w:hAnsiTheme="minorHAnsi" w:cstheme="minorHAnsi"/>
                <w:sz w:val="16"/>
                <w:szCs w:val="16"/>
              </w:rPr>
              <w:t xml:space="preserve">neprinášajú vždy očakávaný efekt. Približne každá štvrtá </w:t>
            </w:r>
            <w:r w:rsidR="00FA63FC">
              <w:rPr>
                <w:rFonts w:asciiTheme="minorHAnsi" w:hAnsiTheme="minorHAnsi" w:cstheme="minorHAnsi"/>
                <w:sz w:val="16"/>
                <w:szCs w:val="16"/>
              </w:rPr>
              <w:t>žena</w:t>
            </w:r>
            <w:r w:rsidR="00FA63FC" w:rsidRPr="00FA63FC">
              <w:rPr>
                <w:rFonts w:asciiTheme="minorHAnsi" w:hAnsiTheme="minorHAnsi" w:cstheme="minorHAnsi"/>
                <w:sz w:val="16"/>
                <w:szCs w:val="16"/>
              </w:rPr>
              <w:t xml:space="preserve"> má skôr či neskôr recidívu</w:t>
            </w:r>
          </w:p>
          <w:p w:rsidR="00CC0561" w:rsidRPr="00CC0561" w:rsidRDefault="00FA63FC" w:rsidP="00CC0561">
            <w:pPr>
              <w:pStyle w:val="PredformtovanHTML"/>
              <w:shd w:val="clear" w:color="auto" w:fill="F8F9FA"/>
              <w:jc w:val="both"/>
              <w:rPr>
                <w:rFonts w:asciiTheme="minorHAnsi" w:hAnsiTheme="minorHAnsi" w:cstheme="minorHAnsi"/>
                <w:sz w:val="16"/>
                <w:szCs w:val="16"/>
              </w:rPr>
            </w:pPr>
            <w:r w:rsidRPr="00FA63FC">
              <w:rPr>
                <w:rFonts w:asciiTheme="minorHAnsi" w:hAnsiTheme="minorHAnsi" w:cstheme="minorHAnsi"/>
                <w:sz w:val="16"/>
                <w:szCs w:val="16"/>
              </w:rPr>
              <w:t>inkontinencie.</w:t>
            </w:r>
            <w:r w:rsidR="00D0123F" w:rsidRPr="007C2C0E">
              <w:rPr>
                <w:rFonts w:asciiTheme="minorHAnsi" w:hAnsiTheme="minorHAnsi" w:cstheme="minorHAnsi"/>
                <w:sz w:val="16"/>
                <w:szCs w:val="16"/>
                <w:shd w:val="clear" w:color="auto" w:fill="F8F9FA"/>
              </w:rPr>
              <w:t xml:space="preserve"> Týmto výstupom môžeme vo vzdelávacom procese prispieť k učebným plánom venujúcim sa ošetrovateľstvu v </w:t>
            </w:r>
            <w:r>
              <w:rPr>
                <w:rFonts w:asciiTheme="minorHAnsi" w:hAnsiTheme="minorHAnsi" w:cstheme="minorHAnsi"/>
                <w:sz w:val="16"/>
                <w:szCs w:val="16"/>
                <w:shd w:val="clear" w:color="auto" w:fill="F8F9FA"/>
              </w:rPr>
              <w:t>gynekológii</w:t>
            </w:r>
            <w:r w:rsidR="00D0123F" w:rsidRPr="007C2C0E">
              <w:rPr>
                <w:rFonts w:asciiTheme="minorHAnsi" w:hAnsiTheme="minorHAnsi" w:cstheme="minorHAnsi"/>
                <w:sz w:val="16"/>
                <w:szCs w:val="16"/>
                <w:shd w:val="clear" w:color="auto" w:fill="F8F9FA"/>
              </w:rPr>
              <w:t xml:space="preserve">, </w:t>
            </w:r>
            <w:r w:rsidR="007C2C0E" w:rsidRPr="007C2C0E">
              <w:rPr>
                <w:rFonts w:asciiTheme="minorHAnsi" w:hAnsiTheme="minorHAnsi" w:cstheme="minorHAnsi"/>
                <w:sz w:val="16"/>
                <w:szCs w:val="16"/>
              </w:rPr>
              <w:t>pa</w:t>
            </w:r>
            <w:r>
              <w:rPr>
                <w:rFonts w:asciiTheme="minorHAnsi" w:hAnsiTheme="minorHAnsi" w:cstheme="minorHAnsi"/>
                <w:sz w:val="16"/>
                <w:szCs w:val="16"/>
              </w:rPr>
              <w:t>tologickej anatómii a fyziológii,</w:t>
            </w:r>
            <w:r w:rsidR="007C2C0E" w:rsidRPr="007C2C0E">
              <w:rPr>
                <w:rFonts w:asciiTheme="minorHAnsi" w:hAnsiTheme="minorHAnsi" w:cstheme="minorHAnsi"/>
                <w:sz w:val="16"/>
                <w:szCs w:val="16"/>
              </w:rPr>
              <w:t xml:space="preserve"> ošetrovateľstvu v  interných odboroch</w:t>
            </w:r>
            <w:r>
              <w:rPr>
                <w:rFonts w:asciiTheme="minorHAnsi" w:hAnsiTheme="minorHAnsi" w:cstheme="minorHAnsi"/>
                <w:sz w:val="16"/>
                <w:szCs w:val="16"/>
              </w:rPr>
              <w:t>, ošetrovateľstvo</w:t>
            </w:r>
            <w:r w:rsidRPr="007C2C0E">
              <w:rPr>
                <w:rFonts w:asciiTheme="minorHAnsi" w:hAnsiTheme="minorHAnsi" w:cstheme="minorHAnsi"/>
                <w:sz w:val="16"/>
                <w:szCs w:val="16"/>
              </w:rPr>
              <w:t xml:space="preserve"> </w:t>
            </w:r>
            <w:r>
              <w:rPr>
                <w:rFonts w:asciiTheme="minorHAnsi" w:hAnsiTheme="minorHAnsi" w:cstheme="minorHAnsi"/>
                <w:sz w:val="16"/>
                <w:szCs w:val="16"/>
              </w:rPr>
              <w:t>a </w:t>
            </w:r>
            <w:r w:rsidRPr="007C2C0E">
              <w:rPr>
                <w:rFonts w:asciiTheme="minorHAnsi" w:hAnsiTheme="minorHAnsi" w:cstheme="minorHAnsi"/>
                <w:sz w:val="16"/>
                <w:szCs w:val="16"/>
              </w:rPr>
              <w:t>ošetrovateľstvu</w:t>
            </w:r>
            <w:r>
              <w:rPr>
                <w:rFonts w:asciiTheme="minorHAnsi" w:hAnsiTheme="minorHAnsi" w:cstheme="minorHAnsi"/>
                <w:sz w:val="16"/>
                <w:szCs w:val="16"/>
              </w:rPr>
              <w:t xml:space="preserve"> v</w:t>
            </w:r>
            <w:r w:rsidR="00D312BA">
              <w:rPr>
                <w:rFonts w:asciiTheme="minorHAnsi" w:hAnsiTheme="minorHAnsi" w:cstheme="minorHAnsi"/>
                <w:sz w:val="16"/>
                <w:szCs w:val="16"/>
              </w:rPr>
              <w:t> </w:t>
            </w:r>
            <w:r>
              <w:rPr>
                <w:rFonts w:asciiTheme="minorHAnsi" w:hAnsiTheme="minorHAnsi" w:cstheme="minorHAnsi"/>
                <w:sz w:val="16"/>
                <w:szCs w:val="16"/>
              </w:rPr>
              <w:t>chirurgii</w:t>
            </w:r>
            <w:r w:rsidR="00D312BA">
              <w:rPr>
                <w:rFonts w:asciiTheme="minorHAnsi" w:hAnsiTheme="minorHAnsi" w:cstheme="minorHAnsi"/>
                <w:sz w:val="16"/>
                <w:szCs w:val="16"/>
              </w:rPr>
              <w:t>.</w:t>
            </w:r>
            <w:r w:rsidR="00323549" w:rsidRPr="007C2C0E">
              <w:rPr>
                <w:rFonts w:asciiTheme="minorHAnsi" w:hAnsiTheme="minorHAnsi" w:cstheme="minorHAnsi"/>
                <w:sz w:val="16"/>
                <w:szCs w:val="16"/>
              </w:rPr>
              <w:t>/</w:t>
            </w:r>
            <w:r w:rsidR="00CC0561" w:rsidRPr="00CC0561">
              <w:rPr>
                <w:rFonts w:asciiTheme="minorHAnsi" w:hAnsiTheme="minorHAnsi" w:cstheme="minorHAnsi"/>
                <w:sz w:val="16"/>
                <w:szCs w:val="16"/>
              </w:rPr>
              <w:t>The output focuses on the topic related to urinary incontinence, given that the diagnosis of urinary incontinence has undergone rapid development over the last 10 years. Modern operating procedures have been developed, but unfortunately even they do not always bring the expected effect. Approximately one in four women has a recurrence sooner or later</w:t>
            </w:r>
          </w:p>
          <w:p w:rsidR="00FB13B0" w:rsidRPr="007C2C0E" w:rsidRDefault="00CC0561" w:rsidP="00CC0561">
            <w:pPr>
              <w:pStyle w:val="PredformtovanHTML"/>
              <w:shd w:val="clear" w:color="auto" w:fill="F8F9FA"/>
              <w:jc w:val="both"/>
              <w:rPr>
                <w:rFonts w:asciiTheme="minorHAnsi" w:hAnsiTheme="minorHAnsi" w:cstheme="minorHAnsi"/>
                <w:sz w:val="16"/>
                <w:szCs w:val="16"/>
              </w:rPr>
            </w:pPr>
            <w:r w:rsidRPr="00CC0561">
              <w:rPr>
                <w:rFonts w:asciiTheme="minorHAnsi" w:hAnsiTheme="minorHAnsi" w:cstheme="minorHAnsi"/>
                <w:sz w:val="16"/>
                <w:szCs w:val="16"/>
              </w:rPr>
              <w:t>incontinence. With this output, we can contribute in the educational process to curricula dedicated to nursing in gynecology, pathological anatomy and physiology, nursing in internal medicine and nursing in surgery.</w:t>
            </w:r>
          </w:p>
        </w:tc>
        <w:tc>
          <w:tcPr>
            <w:tcW w:w="312" w:type="dxa"/>
            <w:vAlign w:val="center"/>
          </w:tcPr>
          <w:p w:rsidR="00FB13B0" w:rsidRPr="007C2C0E" w:rsidRDefault="00FB13B0" w:rsidP="007C2C0E">
            <w:pPr>
              <w:spacing w:after="0" w:line="240" w:lineRule="auto"/>
              <w:jc w:val="both"/>
              <w:rPr>
                <w:rFonts w:eastAsia="Times New Roman" w:cstheme="minorHAnsi"/>
                <w:sz w:val="20"/>
                <w:szCs w:val="20"/>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387" w:rsidRDefault="00476387">
      <w:pPr>
        <w:spacing w:line="240" w:lineRule="auto"/>
      </w:pPr>
      <w:r>
        <w:separator/>
      </w:r>
    </w:p>
  </w:endnote>
  <w:endnote w:type="continuationSeparator" w:id="1">
    <w:p w:rsidR="00476387" w:rsidRDefault="0047638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387" w:rsidRDefault="00476387">
      <w:pPr>
        <w:spacing w:after="0"/>
      </w:pPr>
      <w:r>
        <w:separator/>
      </w:r>
    </w:p>
  </w:footnote>
  <w:footnote w:type="continuationSeparator" w:id="1">
    <w:p w:rsidR="00476387" w:rsidRDefault="0047638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06527A"/>
    <w:rsid w:val="001023E7"/>
    <w:rsid w:val="00175C3F"/>
    <w:rsid w:val="00190A9C"/>
    <w:rsid w:val="00211BB7"/>
    <w:rsid w:val="002B537E"/>
    <w:rsid w:val="002F067A"/>
    <w:rsid w:val="00323549"/>
    <w:rsid w:val="00343C1A"/>
    <w:rsid w:val="004508BB"/>
    <w:rsid w:val="00476387"/>
    <w:rsid w:val="00493D7C"/>
    <w:rsid w:val="004C0ADE"/>
    <w:rsid w:val="005C3EE1"/>
    <w:rsid w:val="00604FFF"/>
    <w:rsid w:val="006D4F7C"/>
    <w:rsid w:val="0072042D"/>
    <w:rsid w:val="0073261A"/>
    <w:rsid w:val="007C2C0E"/>
    <w:rsid w:val="0087213C"/>
    <w:rsid w:val="008A0B6D"/>
    <w:rsid w:val="008C6B88"/>
    <w:rsid w:val="009344A5"/>
    <w:rsid w:val="00947E3A"/>
    <w:rsid w:val="00972FE3"/>
    <w:rsid w:val="009F4F72"/>
    <w:rsid w:val="00A04268"/>
    <w:rsid w:val="00A2122B"/>
    <w:rsid w:val="00A735DE"/>
    <w:rsid w:val="00AB0687"/>
    <w:rsid w:val="00B45806"/>
    <w:rsid w:val="00B566B8"/>
    <w:rsid w:val="00BF2F41"/>
    <w:rsid w:val="00C04AAC"/>
    <w:rsid w:val="00C05C98"/>
    <w:rsid w:val="00CA3E93"/>
    <w:rsid w:val="00CA632A"/>
    <w:rsid w:val="00CC0561"/>
    <w:rsid w:val="00CE11B3"/>
    <w:rsid w:val="00D0123F"/>
    <w:rsid w:val="00D312BA"/>
    <w:rsid w:val="00D422BF"/>
    <w:rsid w:val="00D81528"/>
    <w:rsid w:val="00DB5F9B"/>
    <w:rsid w:val="00E85804"/>
    <w:rsid w:val="00F2201D"/>
    <w:rsid w:val="00FA63FC"/>
    <w:rsid w:val="00FB13B0"/>
    <w:rsid w:val="00FF333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paragraph" w:customStyle="1" w:styleId="Default">
    <w:name w:val="Default"/>
    <w:rsid w:val="00A04268"/>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sva.dawinci.sk/?fn=*recview&amp;uid=10290&amp;pageId=resultform&amp;full=0&amp;fs=DCB2A313350E4D558C3"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sva.dawinci.sk/?fn=*recview&amp;uid=10290&amp;pageId=resultform&amp;full=0&amp;fs=DCB2A313350E4D558C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1786</Words>
  <Characters>10181</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2</cp:revision>
  <dcterms:created xsi:type="dcterms:W3CDTF">2024-01-04T14:45:00Z</dcterms:created>
  <dcterms:modified xsi:type="dcterms:W3CDTF">2024-01-04T14:45:00Z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